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D14" w:rsidRPr="005A79C9" w:rsidRDefault="00C25D14">
      <w:pPr>
        <w:rPr>
          <w:b/>
          <w:sz w:val="28"/>
          <w:lang w:val="pl-PL"/>
        </w:rPr>
      </w:pPr>
      <w:r w:rsidRPr="00451FD1">
        <w:rPr>
          <w:b/>
          <w:sz w:val="28"/>
          <w:lang w:val="pl-PL"/>
        </w:rPr>
        <w:t xml:space="preserve">Światowy Dzień bez </w:t>
      </w:r>
      <w:r>
        <w:rPr>
          <w:b/>
          <w:sz w:val="28"/>
          <w:lang w:val="pl-PL"/>
        </w:rPr>
        <w:t>Tytoniu</w:t>
      </w:r>
      <w:r w:rsidRPr="00451FD1">
        <w:rPr>
          <w:b/>
          <w:sz w:val="28"/>
          <w:lang w:val="pl-PL"/>
        </w:rPr>
        <w:t xml:space="preserve"> – WHO wzywa kraje do podwyższenia akcyzy na wyroby tytoniowe</w:t>
      </w:r>
    </w:p>
    <w:p w:rsidR="00C25D14" w:rsidRPr="002D0C42" w:rsidRDefault="00C25D14" w:rsidP="002D0C42">
      <w:pPr>
        <w:jc w:val="both"/>
        <w:rPr>
          <w:lang w:val="pl-PL"/>
        </w:rPr>
      </w:pPr>
      <w:r w:rsidRPr="002D0C42">
        <w:rPr>
          <w:lang w:val="pl-PL"/>
        </w:rPr>
        <w:t xml:space="preserve">W tym roku, tak jak i w poprzednich latach, 31 maja obchodzimy Światowy Dzień bez </w:t>
      </w:r>
      <w:r>
        <w:rPr>
          <w:lang w:val="pl-PL"/>
        </w:rPr>
        <w:t>Tytoniu</w:t>
      </w:r>
      <w:r w:rsidRPr="002D0C42">
        <w:rPr>
          <w:lang w:val="pl-PL"/>
        </w:rPr>
        <w:t>.</w:t>
      </w:r>
    </w:p>
    <w:p w:rsidR="00C25D14" w:rsidRPr="002D0C42" w:rsidRDefault="00C25D14" w:rsidP="002D0C42">
      <w:pPr>
        <w:jc w:val="both"/>
        <w:rPr>
          <w:lang w:val="pl-PL"/>
        </w:rPr>
      </w:pPr>
      <w:r w:rsidRPr="002D0C42">
        <w:rPr>
          <w:lang w:val="pl-PL"/>
        </w:rPr>
        <w:t>Mimo, że minęło już ponad ćwierć wieku od ustanowienia</w:t>
      </w:r>
      <w:r>
        <w:rPr>
          <w:lang w:val="pl-PL"/>
        </w:rPr>
        <w:t xml:space="preserve"> tego wydarzenia, cel, jaki przy</w:t>
      </w:r>
      <w:r w:rsidRPr="002D0C42">
        <w:rPr>
          <w:lang w:val="pl-PL"/>
        </w:rPr>
        <w:t xml:space="preserve">świecał jego pomysłodawcom pozostaje niezmienny – przyczynienie się do ochrony obecnych i przyszłych pokoleń nie tylko przed niszczącymi zdrowie skutkami palenia czynnego lub biernego, ale również przed jego konsekwencjami natury społecznej, środowiskowej i ekonomicznej. </w:t>
      </w:r>
    </w:p>
    <w:p w:rsidR="00C25D14" w:rsidRPr="002D0C42" w:rsidRDefault="00C25D14" w:rsidP="002D0C42">
      <w:pPr>
        <w:jc w:val="both"/>
        <w:rPr>
          <w:lang w:val="pl-PL"/>
        </w:rPr>
      </w:pPr>
      <w:r w:rsidRPr="002D0C42">
        <w:rPr>
          <w:lang w:val="pl-PL"/>
        </w:rPr>
        <w:t xml:space="preserve">Cel tegorocznej kampanii jest ambitny – </w:t>
      </w:r>
      <w:r w:rsidRPr="001E7B44">
        <w:rPr>
          <w:lang w:val="pl-PL"/>
        </w:rPr>
        <w:t>zgodnie z założeniami</w:t>
      </w:r>
      <w:r w:rsidRPr="002D0C42">
        <w:rPr>
          <w:lang w:val="pl-PL"/>
        </w:rPr>
        <w:t xml:space="preserve"> Ramowej Konwencji o Ograniczeniu Użycia Tytoniu</w:t>
      </w:r>
      <w:r>
        <w:rPr>
          <w:lang w:val="pl-PL"/>
        </w:rPr>
        <w:t>,</w:t>
      </w:r>
      <w:r w:rsidRPr="002D0C42">
        <w:rPr>
          <w:lang w:val="pl-PL"/>
        </w:rPr>
        <w:t xml:space="preserve"> WHO pragnie przekonać rządy poszczególnych państw do podwyż</w:t>
      </w:r>
      <w:r>
        <w:rPr>
          <w:lang w:val="pl-PL"/>
        </w:rPr>
        <w:t xml:space="preserve">szania </w:t>
      </w:r>
      <w:r w:rsidRPr="002D0C42">
        <w:rPr>
          <w:lang w:val="pl-PL"/>
        </w:rPr>
        <w:t xml:space="preserve">akcyzy do poziomu, który docelowo zmniejszyłby konsumpcję wyrobów tytoniowych. WHO liczy w tym zakresie również na wsparcie zarówno ze strony </w:t>
      </w:r>
      <w:r>
        <w:rPr>
          <w:lang w:val="pl-PL"/>
        </w:rPr>
        <w:t xml:space="preserve">poszczególnych </w:t>
      </w:r>
      <w:r w:rsidRPr="002D0C42">
        <w:rPr>
          <w:lang w:val="pl-PL"/>
        </w:rPr>
        <w:t xml:space="preserve">osób jak i organizacji społecznych, które mogą przekonać rządy swoich krajów o słuszności takiego kroku.  </w:t>
      </w:r>
    </w:p>
    <w:p w:rsidR="00C25D14" w:rsidRDefault="00C25D14" w:rsidP="002D0C42">
      <w:pPr>
        <w:jc w:val="both"/>
        <w:rPr>
          <w:lang w:val="pl-PL"/>
        </w:rPr>
      </w:pPr>
      <w:r w:rsidRPr="002D0C42">
        <w:rPr>
          <w:lang w:val="pl-PL"/>
        </w:rPr>
        <w:t>Zwiększenie podatku akcyzowego na wyroby tytoniowe jest uznawane za jeden z najbardziej efektywnych ko</w:t>
      </w:r>
      <w:r>
        <w:rPr>
          <w:lang w:val="pl-PL"/>
        </w:rPr>
        <w:t xml:space="preserve">sztowo mechanizmów kontroli, a mimo to jest stosunkowo rzadko wykorzystywany. Jedynie w 32 krajach, obejmujących niecałe 8% światowej populacji, ponad 75% ceny detalicznej produktu stanowią podatki. </w:t>
      </w:r>
    </w:p>
    <w:p w:rsidR="00C25D14" w:rsidRDefault="00C25D14" w:rsidP="002D0C42">
      <w:pPr>
        <w:jc w:val="both"/>
        <w:rPr>
          <w:lang w:val="pl-PL"/>
        </w:rPr>
      </w:pPr>
      <w:r w:rsidRPr="002D0C42">
        <w:rPr>
          <w:lang w:val="pl-PL"/>
        </w:rPr>
        <w:t>Światowy Raport Zdrowia z 2010 r. pokazuje, że podwyższenie akcyzy o 50 % przyniosłoby ponad 1, 4 mld USD dodatkowych środków w 22 krajach o niskich dochodach. Jeśli fundusze te przeznaczyłoby się na ochronę zdrowia, wydatki rządów w tym obszarze</w:t>
      </w:r>
      <w:r>
        <w:rPr>
          <w:lang w:val="pl-PL"/>
        </w:rPr>
        <w:t>,</w:t>
      </w:r>
      <w:r w:rsidRPr="002D0C42">
        <w:rPr>
          <w:lang w:val="pl-PL"/>
        </w:rPr>
        <w:t xml:space="preserve"> w tych krajach mogłyby wzrosnąć nawet do 50%. </w:t>
      </w:r>
    </w:p>
    <w:p w:rsidR="00C25D14" w:rsidRDefault="00C25D14" w:rsidP="002D0C42">
      <w:pPr>
        <w:jc w:val="both"/>
        <w:rPr>
          <w:lang w:val="pl-PL"/>
        </w:rPr>
      </w:pPr>
      <w:r>
        <w:rPr>
          <w:lang w:val="pl-PL"/>
        </w:rPr>
        <w:t xml:space="preserve">Badania dowodzą, że metoda polegająca na zwiększaniu podatków jest szczególnie skuteczna w ograniczaniu konsumpcji wyrobów tytoniowych w środowisku osób o niższych dochodach oraz w zapobieganiu początkom nałogu u młodzieży. Zwiększenie podatku akcyzowego, które powoduje wzrost cen wyrobów tytoniowych o ok. 10% ogranicza ich konsumpcję o 4% w krajach o wysokich dochodach oraz o ok. 5% w krajach o niskich i średnich dochodach.  </w:t>
      </w:r>
    </w:p>
    <w:p w:rsidR="00C25D14" w:rsidRPr="002D0C42" w:rsidRDefault="00C25D14" w:rsidP="002D0C42">
      <w:pPr>
        <w:pStyle w:val="NormalWeb"/>
        <w:shd w:val="clear" w:color="auto" w:fill="FFFFFF"/>
        <w:jc w:val="both"/>
        <w:rPr>
          <w:rFonts w:ascii="Calibri" w:hAnsi="Calibri"/>
          <w:color w:val="333333"/>
          <w:sz w:val="22"/>
          <w:szCs w:val="22"/>
          <w:lang w:val="pl-PL"/>
        </w:rPr>
      </w:pPr>
      <w:r w:rsidRPr="002D0C42">
        <w:rPr>
          <w:rFonts w:ascii="Calibri" w:hAnsi="Calibri"/>
          <w:color w:val="333333"/>
          <w:sz w:val="22"/>
          <w:szCs w:val="22"/>
          <w:lang w:val="pl-PL"/>
        </w:rPr>
        <w:t xml:space="preserve">A jak mogłoby to wyglądać w Polsce? </w:t>
      </w:r>
      <w:r>
        <w:rPr>
          <w:rFonts w:ascii="Calibri" w:hAnsi="Calibri"/>
          <w:color w:val="333333"/>
          <w:sz w:val="22"/>
          <w:szCs w:val="22"/>
          <w:lang w:val="pl-PL"/>
        </w:rPr>
        <w:t>Według raportu</w:t>
      </w:r>
      <w:bookmarkStart w:id="0" w:name="_GoBack"/>
      <w:bookmarkEnd w:id="0"/>
      <w:r>
        <w:rPr>
          <w:rFonts w:ascii="Calibri" w:hAnsi="Calibri"/>
          <w:color w:val="333333"/>
          <w:sz w:val="22"/>
          <w:szCs w:val="22"/>
          <w:lang w:val="pl-PL"/>
        </w:rPr>
        <w:t xml:space="preserve"> pt. „Ekonomiczne aspekty palenia tytoniu i opodatkowania wyrobów tytoniowych w Polsce”</w:t>
      </w:r>
      <w:r>
        <w:rPr>
          <w:rStyle w:val="FootnoteReference"/>
          <w:rFonts w:ascii="Calibri" w:hAnsi="Calibri"/>
          <w:color w:val="333333"/>
          <w:sz w:val="22"/>
          <w:szCs w:val="22"/>
          <w:lang w:val="pl-PL"/>
        </w:rPr>
        <w:footnoteReference w:id="1"/>
      </w:r>
      <w:r>
        <w:rPr>
          <w:rFonts w:ascii="Calibri" w:hAnsi="Calibri"/>
          <w:color w:val="333333"/>
          <w:sz w:val="22"/>
          <w:szCs w:val="22"/>
          <w:lang w:val="pl-PL"/>
        </w:rPr>
        <w:t xml:space="preserve"> szacuje się, że znaczne p</w:t>
      </w:r>
      <w:r w:rsidRPr="002D0C42">
        <w:rPr>
          <w:rFonts w:ascii="Calibri" w:hAnsi="Calibri"/>
          <w:color w:val="333333"/>
          <w:sz w:val="22"/>
          <w:szCs w:val="22"/>
          <w:lang w:val="pl-PL"/>
        </w:rPr>
        <w:t>odwyższenie akcyzy</w:t>
      </w:r>
      <w:r>
        <w:rPr>
          <w:rFonts w:ascii="Calibri" w:hAnsi="Calibri"/>
          <w:color w:val="333333"/>
          <w:sz w:val="22"/>
          <w:szCs w:val="22"/>
          <w:lang w:val="pl-PL"/>
        </w:rPr>
        <w:t>, a co za tym idzie, wzrost ceny paczki papierosów średnio o 50% skłoniłoby</w:t>
      </w:r>
      <w:r w:rsidRPr="002D0C42">
        <w:rPr>
          <w:rFonts w:ascii="Calibri" w:hAnsi="Calibri"/>
          <w:color w:val="333333"/>
          <w:sz w:val="22"/>
          <w:szCs w:val="22"/>
          <w:lang w:val="pl-PL"/>
        </w:rPr>
        <w:t xml:space="preserve"> do rzucenia palenia 618 tys. dorosłych Polaków i z</w:t>
      </w:r>
      <w:r>
        <w:rPr>
          <w:rFonts w:ascii="Calibri" w:hAnsi="Calibri"/>
          <w:color w:val="333333"/>
          <w:sz w:val="22"/>
          <w:szCs w:val="22"/>
          <w:lang w:val="pl-PL"/>
        </w:rPr>
        <w:t>niechęciłoby do</w:t>
      </w:r>
      <w:r w:rsidRPr="002D0C42">
        <w:rPr>
          <w:rFonts w:ascii="Calibri" w:hAnsi="Calibri"/>
          <w:color w:val="333333"/>
          <w:sz w:val="22"/>
          <w:szCs w:val="22"/>
          <w:lang w:val="pl-PL"/>
        </w:rPr>
        <w:t xml:space="preserve"> </w:t>
      </w:r>
      <w:r>
        <w:rPr>
          <w:rFonts w:ascii="Calibri" w:hAnsi="Calibri"/>
          <w:color w:val="333333"/>
          <w:sz w:val="22"/>
          <w:szCs w:val="22"/>
          <w:lang w:val="pl-PL"/>
        </w:rPr>
        <w:t>rozpoczęcia nałogu</w:t>
      </w:r>
      <w:r w:rsidRPr="002D0C42">
        <w:rPr>
          <w:rFonts w:ascii="Calibri" w:hAnsi="Calibri"/>
          <w:color w:val="333333"/>
          <w:sz w:val="22"/>
          <w:szCs w:val="22"/>
          <w:lang w:val="pl-PL"/>
        </w:rPr>
        <w:t xml:space="preserve"> </w:t>
      </w:r>
      <w:r>
        <w:rPr>
          <w:rFonts w:ascii="Calibri" w:hAnsi="Calibri"/>
          <w:color w:val="333333"/>
          <w:sz w:val="22"/>
          <w:szCs w:val="22"/>
          <w:lang w:val="pl-PL"/>
        </w:rPr>
        <w:t>215 tys. młodych ludzi (poniżej 15 roku życia). W</w:t>
      </w:r>
      <w:r w:rsidRPr="002D0C42">
        <w:rPr>
          <w:rFonts w:ascii="Calibri" w:hAnsi="Calibri"/>
          <w:color w:val="333333"/>
          <w:sz w:val="22"/>
          <w:szCs w:val="22"/>
          <w:lang w:val="pl-PL"/>
        </w:rPr>
        <w:t xml:space="preserve"> konsekwencji przyczyniłoby się do zmniejszenia liczby przedwczesnych </w:t>
      </w:r>
      <w:r>
        <w:rPr>
          <w:rFonts w:ascii="Calibri" w:hAnsi="Calibri"/>
          <w:color w:val="333333"/>
          <w:sz w:val="22"/>
          <w:szCs w:val="22"/>
          <w:lang w:val="pl-PL"/>
        </w:rPr>
        <w:t xml:space="preserve">zgonów </w:t>
      </w:r>
      <w:r w:rsidRPr="002D0C42">
        <w:rPr>
          <w:rFonts w:ascii="Calibri" w:hAnsi="Calibri"/>
          <w:color w:val="333333"/>
          <w:sz w:val="22"/>
          <w:szCs w:val="22"/>
          <w:lang w:val="pl-PL"/>
        </w:rPr>
        <w:t xml:space="preserve">o 7, 2%, a dodatkowo przyniosłoby 7, 1 mld PLN zwrotu z akcyzy. </w:t>
      </w:r>
    </w:p>
    <w:p w:rsidR="00C25D14" w:rsidRPr="00A626D5" w:rsidRDefault="00C25D14" w:rsidP="00A626D5">
      <w:pPr>
        <w:pStyle w:val="NormalWeb"/>
        <w:shd w:val="clear" w:color="auto" w:fill="FFFFFF"/>
        <w:jc w:val="both"/>
        <w:rPr>
          <w:rFonts w:ascii="Calibri" w:hAnsi="Calibri"/>
          <w:sz w:val="22"/>
          <w:szCs w:val="22"/>
          <w:lang w:val="pl-PL"/>
        </w:rPr>
      </w:pPr>
      <w:r w:rsidRPr="00A626D5">
        <w:rPr>
          <w:rFonts w:ascii="Calibri" w:hAnsi="Calibri"/>
          <w:sz w:val="22"/>
          <w:szCs w:val="22"/>
          <w:lang w:val="pl-PL"/>
        </w:rPr>
        <w:t xml:space="preserve">Każdego roku palenie powoduje śmierć prawie 6 milionów ludzi na całym świecie, z których ponad 600 tys. to osoby niepalące, które umierają, jako bierni palacze. Jeżeli teraz nie zostaną podjęte odpowiednie kroki, chociażby taki jak ten, który proponuje WHO, roczna liczba ofiar używania tytoniu może wzrosnąć do ponad 8 mln w 2030 r. (w tym ok. 80% w krajach o niskich i średnich dochodach). </w:t>
      </w:r>
    </w:p>
    <w:sectPr w:rsidR="00C25D14" w:rsidRPr="00A626D5" w:rsidSect="00DB0B8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D14" w:rsidRDefault="00C25D14">
      <w:r>
        <w:separator/>
      </w:r>
    </w:p>
  </w:endnote>
  <w:endnote w:type="continuationSeparator" w:id="0">
    <w:p w:rsidR="00C25D14" w:rsidRDefault="00C25D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D14" w:rsidRDefault="00C25D14">
      <w:r>
        <w:separator/>
      </w:r>
    </w:p>
  </w:footnote>
  <w:footnote w:type="continuationSeparator" w:id="0">
    <w:p w:rsidR="00C25D14" w:rsidRDefault="00C25D14">
      <w:r>
        <w:continuationSeparator/>
      </w:r>
    </w:p>
  </w:footnote>
  <w:footnote w:id="1">
    <w:p w:rsidR="00C25D14" w:rsidRDefault="00C25D14">
      <w:pPr>
        <w:pStyle w:val="FootnoteText"/>
      </w:pPr>
      <w:r w:rsidRPr="00843C15">
        <w:rPr>
          <w:rStyle w:val="FootnoteReference"/>
        </w:rPr>
        <w:footnoteRef/>
      </w:r>
      <w:r w:rsidRPr="00843C15">
        <w:rPr>
          <w:lang w:val="pl-PL"/>
        </w:rPr>
        <w:t xml:space="preserve"> Ciecierski CC, Cherukupalli R, Weresa M „</w:t>
      </w:r>
      <w:r w:rsidRPr="00843C15">
        <w:rPr>
          <w:color w:val="333333"/>
          <w:lang w:val="pl-PL"/>
        </w:rPr>
        <w:t xml:space="preserve">Ekonomiczne aspekty palenia tytoniu i opodatkowania wyrobów tytoniowych w Polsce”, Paryż: International Union Against Tuberculosis and Lung Disease; 2011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1704A2"/>
    <w:multiLevelType w:val="hybridMultilevel"/>
    <w:tmpl w:val="BBC85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785F25CF"/>
    <w:multiLevelType w:val="multilevel"/>
    <w:tmpl w:val="AFF6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09E2"/>
    <w:rsid w:val="000B3636"/>
    <w:rsid w:val="000F1C6F"/>
    <w:rsid w:val="00103D4F"/>
    <w:rsid w:val="0012464E"/>
    <w:rsid w:val="00130AEA"/>
    <w:rsid w:val="0018777F"/>
    <w:rsid w:val="001E7B44"/>
    <w:rsid w:val="001F4B03"/>
    <w:rsid w:val="00237A2C"/>
    <w:rsid w:val="00257964"/>
    <w:rsid w:val="00264AB2"/>
    <w:rsid w:val="002D0C42"/>
    <w:rsid w:val="002E12CE"/>
    <w:rsid w:val="00315DCA"/>
    <w:rsid w:val="003377BB"/>
    <w:rsid w:val="00385DB7"/>
    <w:rsid w:val="00385F64"/>
    <w:rsid w:val="003A6A06"/>
    <w:rsid w:val="003B0A20"/>
    <w:rsid w:val="003E32F9"/>
    <w:rsid w:val="00451FD1"/>
    <w:rsid w:val="004628F4"/>
    <w:rsid w:val="004B733B"/>
    <w:rsid w:val="004D5EF7"/>
    <w:rsid w:val="004F4D47"/>
    <w:rsid w:val="00523B2C"/>
    <w:rsid w:val="0055025B"/>
    <w:rsid w:val="005604CD"/>
    <w:rsid w:val="005751B8"/>
    <w:rsid w:val="005A79C9"/>
    <w:rsid w:val="005F6BE6"/>
    <w:rsid w:val="00686373"/>
    <w:rsid w:val="006A3A21"/>
    <w:rsid w:val="007632EA"/>
    <w:rsid w:val="0077026C"/>
    <w:rsid w:val="00771218"/>
    <w:rsid w:val="007741BC"/>
    <w:rsid w:val="007741D1"/>
    <w:rsid w:val="007A77BF"/>
    <w:rsid w:val="007B1A72"/>
    <w:rsid w:val="007C4EDA"/>
    <w:rsid w:val="007E36AD"/>
    <w:rsid w:val="008109E2"/>
    <w:rsid w:val="00821CCF"/>
    <w:rsid w:val="00840CA6"/>
    <w:rsid w:val="00843C15"/>
    <w:rsid w:val="008C4CFC"/>
    <w:rsid w:val="009020A5"/>
    <w:rsid w:val="00907BD4"/>
    <w:rsid w:val="00911AF9"/>
    <w:rsid w:val="00945A03"/>
    <w:rsid w:val="009802FF"/>
    <w:rsid w:val="0098691D"/>
    <w:rsid w:val="00A1189A"/>
    <w:rsid w:val="00A626D5"/>
    <w:rsid w:val="00AE0F26"/>
    <w:rsid w:val="00B851FF"/>
    <w:rsid w:val="00BD1927"/>
    <w:rsid w:val="00C25D14"/>
    <w:rsid w:val="00C36DBE"/>
    <w:rsid w:val="00C8225A"/>
    <w:rsid w:val="00D01A69"/>
    <w:rsid w:val="00D62BAB"/>
    <w:rsid w:val="00D949AB"/>
    <w:rsid w:val="00DB0B8F"/>
    <w:rsid w:val="00E22823"/>
    <w:rsid w:val="00E84174"/>
    <w:rsid w:val="00EA6F01"/>
    <w:rsid w:val="00F2028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1D1"/>
    <w:pPr>
      <w:spacing w:after="200" w:line="276" w:lineRule="auto"/>
    </w:pPr>
    <w:rPr>
      <w:lang w:val="en-US"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8109E2"/>
    <w:rPr>
      <w:rFonts w:cs="Times New Roman"/>
      <w:sz w:val="16"/>
      <w:szCs w:val="16"/>
    </w:rPr>
  </w:style>
  <w:style w:type="paragraph" w:styleId="CommentText">
    <w:name w:val="annotation text"/>
    <w:basedOn w:val="Normal"/>
    <w:link w:val="CommentTextChar"/>
    <w:uiPriority w:val="99"/>
    <w:semiHidden/>
    <w:rsid w:val="008109E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109E2"/>
    <w:rPr>
      <w:rFonts w:cs="Times New Roman"/>
      <w:sz w:val="20"/>
      <w:szCs w:val="20"/>
    </w:rPr>
  </w:style>
  <w:style w:type="paragraph" w:styleId="CommentSubject">
    <w:name w:val="annotation subject"/>
    <w:basedOn w:val="CommentText"/>
    <w:next w:val="CommentText"/>
    <w:link w:val="CommentSubjectChar"/>
    <w:uiPriority w:val="99"/>
    <w:semiHidden/>
    <w:rsid w:val="008109E2"/>
    <w:rPr>
      <w:b/>
      <w:bCs/>
    </w:rPr>
  </w:style>
  <w:style w:type="character" w:customStyle="1" w:styleId="CommentSubjectChar">
    <w:name w:val="Comment Subject Char"/>
    <w:basedOn w:val="CommentTextChar"/>
    <w:link w:val="CommentSubject"/>
    <w:uiPriority w:val="99"/>
    <w:semiHidden/>
    <w:locked/>
    <w:rsid w:val="008109E2"/>
    <w:rPr>
      <w:b/>
      <w:bCs/>
    </w:rPr>
  </w:style>
  <w:style w:type="paragraph" w:styleId="BalloonText">
    <w:name w:val="Balloon Text"/>
    <w:basedOn w:val="Normal"/>
    <w:link w:val="BalloonTextChar"/>
    <w:uiPriority w:val="99"/>
    <w:semiHidden/>
    <w:rsid w:val="00810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09E2"/>
    <w:rPr>
      <w:rFonts w:ascii="Tahoma" w:hAnsi="Tahoma" w:cs="Tahoma"/>
      <w:sz w:val="16"/>
      <w:szCs w:val="16"/>
    </w:rPr>
  </w:style>
  <w:style w:type="paragraph" w:styleId="NormalWeb">
    <w:name w:val="Normal (Web)"/>
    <w:basedOn w:val="Normal"/>
    <w:uiPriority w:val="99"/>
    <w:semiHidden/>
    <w:rsid w:val="00130AEA"/>
    <w:pPr>
      <w:spacing w:before="240" w:after="240" w:line="240" w:lineRule="auto"/>
    </w:pPr>
    <w:rPr>
      <w:rFonts w:ascii="Times New Roman" w:hAnsi="Times New Roman"/>
      <w:sz w:val="24"/>
      <w:szCs w:val="24"/>
    </w:rPr>
  </w:style>
  <w:style w:type="paragraph" w:styleId="ListParagraph">
    <w:name w:val="List Paragraph"/>
    <w:basedOn w:val="Normal"/>
    <w:uiPriority w:val="99"/>
    <w:qFormat/>
    <w:rsid w:val="00D949AB"/>
    <w:pPr>
      <w:ind w:left="720"/>
      <w:contextualSpacing/>
    </w:pPr>
  </w:style>
  <w:style w:type="character" w:customStyle="1" w:styleId="shorttext">
    <w:name w:val="short_text"/>
    <w:basedOn w:val="DefaultParagraphFont"/>
    <w:uiPriority w:val="99"/>
    <w:rsid w:val="005751B8"/>
    <w:rPr>
      <w:rFonts w:cs="Times New Roman"/>
    </w:rPr>
  </w:style>
  <w:style w:type="character" w:customStyle="1" w:styleId="hps">
    <w:name w:val="hps"/>
    <w:basedOn w:val="DefaultParagraphFont"/>
    <w:uiPriority w:val="99"/>
    <w:rsid w:val="005751B8"/>
    <w:rPr>
      <w:rFonts w:cs="Times New Roman"/>
    </w:rPr>
  </w:style>
  <w:style w:type="paragraph" w:styleId="FootnoteText">
    <w:name w:val="footnote text"/>
    <w:basedOn w:val="Normal"/>
    <w:link w:val="FootnoteTextChar"/>
    <w:uiPriority w:val="99"/>
    <w:semiHidden/>
    <w:rsid w:val="00843C15"/>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lang w:val="en-US" w:eastAsia="zh-CN"/>
    </w:rPr>
  </w:style>
  <w:style w:type="character" w:styleId="FootnoteReference">
    <w:name w:val="footnote reference"/>
    <w:basedOn w:val="DefaultParagraphFont"/>
    <w:uiPriority w:val="99"/>
    <w:semiHidden/>
    <w:rsid w:val="00843C15"/>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951161542">
      <w:marLeft w:val="0"/>
      <w:marRight w:val="0"/>
      <w:marTop w:val="0"/>
      <w:marBottom w:val="0"/>
      <w:divBdr>
        <w:top w:val="none" w:sz="0" w:space="0" w:color="auto"/>
        <w:left w:val="none" w:sz="0" w:space="0" w:color="auto"/>
        <w:bottom w:val="none" w:sz="0" w:space="0" w:color="auto"/>
        <w:right w:val="none" w:sz="0" w:space="0" w:color="auto"/>
      </w:divBdr>
      <w:divsChild>
        <w:div w:id="1951161553">
          <w:marLeft w:val="0"/>
          <w:marRight w:val="0"/>
          <w:marTop w:val="0"/>
          <w:marBottom w:val="0"/>
          <w:divBdr>
            <w:top w:val="none" w:sz="0" w:space="0" w:color="auto"/>
            <w:left w:val="none" w:sz="0" w:space="0" w:color="auto"/>
            <w:bottom w:val="none" w:sz="0" w:space="0" w:color="auto"/>
            <w:right w:val="none" w:sz="0" w:space="0" w:color="auto"/>
          </w:divBdr>
          <w:divsChild>
            <w:div w:id="1951161539">
              <w:marLeft w:val="0"/>
              <w:marRight w:val="0"/>
              <w:marTop w:val="0"/>
              <w:marBottom w:val="0"/>
              <w:divBdr>
                <w:top w:val="none" w:sz="0" w:space="0" w:color="auto"/>
                <w:left w:val="none" w:sz="0" w:space="0" w:color="auto"/>
                <w:bottom w:val="none" w:sz="0" w:space="0" w:color="auto"/>
                <w:right w:val="none" w:sz="0" w:space="0" w:color="auto"/>
              </w:divBdr>
              <w:divsChild>
                <w:div w:id="1951161548">
                  <w:marLeft w:val="0"/>
                  <w:marRight w:val="0"/>
                  <w:marTop w:val="0"/>
                  <w:marBottom w:val="0"/>
                  <w:divBdr>
                    <w:top w:val="none" w:sz="0" w:space="0" w:color="auto"/>
                    <w:left w:val="none" w:sz="0" w:space="0" w:color="auto"/>
                    <w:bottom w:val="none" w:sz="0" w:space="0" w:color="auto"/>
                    <w:right w:val="none" w:sz="0" w:space="0" w:color="auto"/>
                  </w:divBdr>
                  <w:divsChild>
                    <w:div w:id="1951161538">
                      <w:marLeft w:val="0"/>
                      <w:marRight w:val="0"/>
                      <w:marTop w:val="0"/>
                      <w:marBottom w:val="0"/>
                      <w:divBdr>
                        <w:top w:val="none" w:sz="0" w:space="0" w:color="auto"/>
                        <w:left w:val="none" w:sz="0" w:space="0" w:color="auto"/>
                        <w:bottom w:val="none" w:sz="0" w:space="0" w:color="auto"/>
                        <w:right w:val="none" w:sz="0" w:space="0" w:color="auto"/>
                      </w:divBdr>
                      <w:divsChild>
                        <w:div w:id="1951161560">
                          <w:marLeft w:val="0"/>
                          <w:marRight w:val="0"/>
                          <w:marTop w:val="0"/>
                          <w:marBottom w:val="0"/>
                          <w:divBdr>
                            <w:top w:val="none" w:sz="0" w:space="0" w:color="auto"/>
                            <w:left w:val="none" w:sz="0" w:space="0" w:color="auto"/>
                            <w:bottom w:val="none" w:sz="0" w:space="0" w:color="auto"/>
                            <w:right w:val="none" w:sz="0" w:space="0" w:color="auto"/>
                          </w:divBdr>
                          <w:divsChild>
                            <w:div w:id="1951161541">
                              <w:marLeft w:val="0"/>
                              <w:marRight w:val="0"/>
                              <w:marTop w:val="0"/>
                              <w:marBottom w:val="0"/>
                              <w:divBdr>
                                <w:top w:val="none" w:sz="0" w:space="0" w:color="auto"/>
                                <w:left w:val="none" w:sz="0" w:space="0" w:color="auto"/>
                                <w:bottom w:val="none" w:sz="0" w:space="0" w:color="auto"/>
                                <w:right w:val="none" w:sz="0" w:space="0" w:color="auto"/>
                              </w:divBdr>
                              <w:divsChild>
                                <w:div w:id="1951161559">
                                  <w:marLeft w:val="0"/>
                                  <w:marRight w:val="0"/>
                                  <w:marTop w:val="0"/>
                                  <w:marBottom w:val="0"/>
                                  <w:divBdr>
                                    <w:top w:val="none" w:sz="0" w:space="0" w:color="auto"/>
                                    <w:left w:val="none" w:sz="0" w:space="0" w:color="auto"/>
                                    <w:bottom w:val="none" w:sz="0" w:space="0" w:color="auto"/>
                                    <w:right w:val="none" w:sz="0" w:space="0" w:color="auto"/>
                                  </w:divBdr>
                                  <w:divsChild>
                                    <w:div w:id="1951161565">
                                      <w:marLeft w:val="60"/>
                                      <w:marRight w:val="0"/>
                                      <w:marTop w:val="0"/>
                                      <w:marBottom w:val="0"/>
                                      <w:divBdr>
                                        <w:top w:val="none" w:sz="0" w:space="0" w:color="auto"/>
                                        <w:left w:val="none" w:sz="0" w:space="0" w:color="auto"/>
                                        <w:bottom w:val="none" w:sz="0" w:space="0" w:color="auto"/>
                                        <w:right w:val="none" w:sz="0" w:space="0" w:color="auto"/>
                                      </w:divBdr>
                                      <w:divsChild>
                                        <w:div w:id="1951161567">
                                          <w:marLeft w:val="0"/>
                                          <w:marRight w:val="0"/>
                                          <w:marTop w:val="0"/>
                                          <w:marBottom w:val="0"/>
                                          <w:divBdr>
                                            <w:top w:val="none" w:sz="0" w:space="0" w:color="auto"/>
                                            <w:left w:val="none" w:sz="0" w:space="0" w:color="auto"/>
                                            <w:bottom w:val="none" w:sz="0" w:space="0" w:color="auto"/>
                                            <w:right w:val="none" w:sz="0" w:space="0" w:color="auto"/>
                                          </w:divBdr>
                                          <w:divsChild>
                                            <w:div w:id="1951161557">
                                              <w:marLeft w:val="0"/>
                                              <w:marRight w:val="0"/>
                                              <w:marTop w:val="0"/>
                                              <w:marBottom w:val="120"/>
                                              <w:divBdr>
                                                <w:top w:val="single" w:sz="6" w:space="0" w:color="F5F5F5"/>
                                                <w:left w:val="single" w:sz="6" w:space="0" w:color="F5F5F5"/>
                                                <w:bottom w:val="single" w:sz="6" w:space="0" w:color="F5F5F5"/>
                                                <w:right w:val="single" w:sz="6" w:space="0" w:color="F5F5F5"/>
                                              </w:divBdr>
                                              <w:divsChild>
                                                <w:div w:id="1951161564">
                                                  <w:marLeft w:val="0"/>
                                                  <w:marRight w:val="0"/>
                                                  <w:marTop w:val="0"/>
                                                  <w:marBottom w:val="0"/>
                                                  <w:divBdr>
                                                    <w:top w:val="none" w:sz="0" w:space="0" w:color="auto"/>
                                                    <w:left w:val="none" w:sz="0" w:space="0" w:color="auto"/>
                                                    <w:bottom w:val="none" w:sz="0" w:space="0" w:color="auto"/>
                                                    <w:right w:val="none" w:sz="0" w:space="0" w:color="auto"/>
                                                  </w:divBdr>
                                                  <w:divsChild>
                                                    <w:div w:id="19511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1161543">
      <w:marLeft w:val="0"/>
      <w:marRight w:val="0"/>
      <w:marTop w:val="0"/>
      <w:marBottom w:val="0"/>
      <w:divBdr>
        <w:top w:val="none" w:sz="0" w:space="0" w:color="auto"/>
        <w:left w:val="none" w:sz="0" w:space="0" w:color="auto"/>
        <w:bottom w:val="none" w:sz="0" w:space="0" w:color="auto"/>
        <w:right w:val="none" w:sz="0" w:space="0" w:color="auto"/>
      </w:divBdr>
      <w:divsChild>
        <w:div w:id="1951161532">
          <w:marLeft w:val="0"/>
          <w:marRight w:val="0"/>
          <w:marTop w:val="150"/>
          <w:marBottom w:val="0"/>
          <w:divBdr>
            <w:top w:val="none" w:sz="0" w:space="0" w:color="auto"/>
            <w:left w:val="single" w:sz="6" w:space="0" w:color="E2E2E2"/>
            <w:bottom w:val="none" w:sz="0" w:space="0" w:color="auto"/>
            <w:right w:val="single" w:sz="6" w:space="0" w:color="E2E2E2"/>
          </w:divBdr>
          <w:divsChild>
            <w:div w:id="1951161570">
              <w:marLeft w:val="0"/>
              <w:marRight w:val="0"/>
              <w:marTop w:val="0"/>
              <w:marBottom w:val="0"/>
              <w:divBdr>
                <w:top w:val="none" w:sz="0" w:space="0" w:color="auto"/>
                <w:left w:val="none" w:sz="0" w:space="0" w:color="auto"/>
                <w:bottom w:val="none" w:sz="0" w:space="0" w:color="auto"/>
                <w:right w:val="none" w:sz="0" w:space="0" w:color="auto"/>
              </w:divBdr>
              <w:divsChild>
                <w:div w:id="1951161546">
                  <w:marLeft w:val="0"/>
                  <w:marRight w:val="0"/>
                  <w:marTop w:val="0"/>
                  <w:marBottom w:val="0"/>
                  <w:divBdr>
                    <w:top w:val="none" w:sz="0" w:space="0" w:color="auto"/>
                    <w:left w:val="none" w:sz="0" w:space="0" w:color="auto"/>
                    <w:bottom w:val="none" w:sz="0" w:space="0" w:color="auto"/>
                    <w:right w:val="none" w:sz="0" w:space="0" w:color="auto"/>
                  </w:divBdr>
                  <w:divsChild>
                    <w:div w:id="1951161531">
                      <w:marLeft w:val="0"/>
                      <w:marRight w:val="0"/>
                      <w:marTop w:val="0"/>
                      <w:marBottom w:val="0"/>
                      <w:divBdr>
                        <w:top w:val="none" w:sz="0" w:space="0" w:color="auto"/>
                        <w:left w:val="none" w:sz="0" w:space="0" w:color="auto"/>
                        <w:bottom w:val="none" w:sz="0" w:space="0" w:color="auto"/>
                        <w:right w:val="none" w:sz="0" w:space="0" w:color="auto"/>
                      </w:divBdr>
                      <w:divsChild>
                        <w:div w:id="19511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161556">
      <w:marLeft w:val="0"/>
      <w:marRight w:val="0"/>
      <w:marTop w:val="0"/>
      <w:marBottom w:val="0"/>
      <w:divBdr>
        <w:top w:val="none" w:sz="0" w:space="0" w:color="auto"/>
        <w:left w:val="none" w:sz="0" w:space="0" w:color="auto"/>
        <w:bottom w:val="none" w:sz="0" w:space="0" w:color="auto"/>
        <w:right w:val="none" w:sz="0" w:space="0" w:color="auto"/>
      </w:divBdr>
      <w:divsChild>
        <w:div w:id="1951161551">
          <w:marLeft w:val="0"/>
          <w:marRight w:val="0"/>
          <w:marTop w:val="150"/>
          <w:marBottom w:val="0"/>
          <w:divBdr>
            <w:top w:val="none" w:sz="0" w:space="0" w:color="auto"/>
            <w:left w:val="single" w:sz="6" w:space="0" w:color="E2E2E2"/>
            <w:bottom w:val="none" w:sz="0" w:space="0" w:color="auto"/>
            <w:right w:val="single" w:sz="6" w:space="0" w:color="E2E2E2"/>
          </w:divBdr>
          <w:divsChild>
            <w:div w:id="1951161563">
              <w:marLeft w:val="0"/>
              <w:marRight w:val="0"/>
              <w:marTop w:val="0"/>
              <w:marBottom w:val="0"/>
              <w:divBdr>
                <w:top w:val="none" w:sz="0" w:space="0" w:color="auto"/>
                <w:left w:val="none" w:sz="0" w:space="0" w:color="auto"/>
                <w:bottom w:val="none" w:sz="0" w:space="0" w:color="auto"/>
                <w:right w:val="none" w:sz="0" w:space="0" w:color="auto"/>
              </w:divBdr>
              <w:divsChild>
                <w:div w:id="1951161550">
                  <w:marLeft w:val="0"/>
                  <w:marRight w:val="0"/>
                  <w:marTop w:val="0"/>
                  <w:marBottom w:val="0"/>
                  <w:divBdr>
                    <w:top w:val="none" w:sz="0" w:space="0" w:color="auto"/>
                    <w:left w:val="none" w:sz="0" w:space="0" w:color="auto"/>
                    <w:bottom w:val="none" w:sz="0" w:space="0" w:color="auto"/>
                    <w:right w:val="none" w:sz="0" w:space="0" w:color="auto"/>
                  </w:divBdr>
                  <w:divsChild>
                    <w:div w:id="1951161569">
                      <w:marLeft w:val="0"/>
                      <w:marRight w:val="0"/>
                      <w:marTop w:val="0"/>
                      <w:marBottom w:val="0"/>
                      <w:divBdr>
                        <w:top w:val="none" w:sz="0" w:space="0" w:color="auto"/>
                        <w:left w:val="none" w:sz="0" w:space="0" w:color="auto"/>
                        <w:bottom w:val="none" w:sz="0" w:space="0" w:color="auto"/>
                        <w:right w:val="none" w:sz="0" w:space="0" w:color="auto"/>
                      </w:divBdr>
                      <w:divsChild>
                        <w:div w:id="195116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161561">
      <w:marLeft w:val="0"/>
      <w:marRight w:val="0"/>
      <w:marTop w:val="0"/>
      <w:marBottom w:val="0"/>
      <w:divBdr>
        <w:top w:val="none" w:sz="0" w:space="0" w:color="auto"/>
        <w:left w:val="none" w:sz="0" w:space="0" w:color="auto"/>
        <w:bottom w:val="none" w:sz="0" w:space="0" w:color="auto"/>
        <w:right w:val="none" w:sz="0" w:space="0" w:color="auto"/>
      </w:divBdr>
      <w:divsChild>
        <w:div w:id="1951161571">
          <w:marLeft w:val="0"/>
          <w:marRight w:val="0"/>
          <w:marTop w:val="0"/>
          <w:marBottom w:val="0"/>
          <w:divBdr>
            <w:top w:val="none" w:sz="0" w:space="0" w:color="auto"/>
            <w:left w:val="none" w:sz="0" w:space="0" w:color="auto"/>
            <w:bottom w:val="none" w:sz="0" w:space="0" w:color="auto"/>
            <w:right w:val="none" w:sz="0" w:space="0" w:color="auto"/>
          </w:divBdr>
          <w:divsChild>
            <w:div w:id="1951161547">
              <w:marLeft w:val="0"/>
              <w:marRight w:val="0"/>
              <w:marTop w:val="0"/>
              <w:marBottom w:val="0"/>
              <w:divBdr>
                <w:top w:val="none" w:sz="0" w:space="0" w:color="auto"/>
                <w:left w:val="none" w:sz="0" w:space="0" w:color="auto"/>
                <w:bottom w:val="none" w:sz="0" w:space="0" w:color="auto"/>
                <w:right w:val="none" w:sz="0" w:space="0" w:color="auto"/>
              </w:divBdr>
              <w:divsChild>
                <w:div w:id="1951161566">
                  <w:marLeft w:val="0"/>
                  <w:marRight w:val="0"/>
                  <w:marTop w:val="0"/>
                  <w:marBottom w:val="0"/>
                  <w:divBdr>
                    <w:top w:val="none" w:sz="0" w:space="0" w:color="auto"/>
                    <w:left w:val="none" w:sz="0" w:space="0" w:color="auto"/>
                    <w:bottom w:val="none" w:sz="0" w:space="0" w:color="auto"/>
                    <w:right w:val="none" w:sz="0" w:space="0" w:color="auto"/>
                  </w:divBdr>
                  <w:divsChild>
                    <w:div w:id="1951161573">
                      <w:marLeft w:val="0"/>
                      <w:marRight w:val="0"/>
                      <w:marTop w:val="0"/>
                      <w:marBottom w:val="0"/>
                      <w:divBdr>
                        <w:top w:val="none" w:sz="0" w:space="0" w:color="auto"/>
                        <w:left w:val="none" w:sz="0" w:space="0" w:color="auto"/>
                        <w:bottom w:val="none" w:sz="0" w:space="0" w:color="auto"/>
                        <w:right w:val="none" w:sz="0" w:space="0" w:color="auto"/>
                      </w:divBdr>
                      <w:divsChild>
                        <w:div w:id="1951161562">
                          <w:marLeft w:val="0"/>
                          <w:marRight w:val="0"/>
                          <w:marTop w:val="0"/>
                          <w:marBottom w:val="0"/>
                          <w:divBdr>
                            <w:top w:val="none" w:sz="0" w:space="0" w:color="auto"/>
                            <w:left w:val="none" w:sz="0" w:space="0" w:color="auto"/>
                            <w:bottom w:val="none" w:sz="0" w:space="0" w:color="auto"/>
                            <w:right w:val="none" w:sz="0" w:space="0" w:color="auto"/>
                          </w:divBdr>
                          <w:divsChild>
                            <w:div w:id="1951161544">
                              <w:marLeft w:val="0"/>
                              <w:marRight w:val="0"/>
                              <w:marTop w:val="0"/>
                              <w:marBottom w:val="0"/>
                              <w:divBdr>
                                <w:top w:val="none" w:sz="0" w:space="0" w:color="auto"/>
                                <w:left w:val="none" w:sz="0" w:space="0" w:color="auto"/>
                                <w:bottom w:val="none" w:sz="0" w:space="0" w:color="auto"/>
                                <w:right w:val="none" w:sz="0" w:space="0" w:color="auto"/>
                              </w:divBdr>
                              <w:divsChild>
                                <w:div w:id="1951161533">
                                  <w:marLeft w:val="0"/>
                                  <w:marRight w:val="0"/>
                                  <w:marTop w:val="0"/>
                                  <w:marBottom w:val="0"/>
                                  <w:divBdr>
                                    <w:top w:val="none" w:sz="0" w:space="0" w:color="auto"/>
                                    <w:left w:val="none" w:sz="0" w:space="0" w:color="auto"/>
                                    <w:bottom w:val="none" w:sz="0" w:space="0" w:color="auto"/>
                                    <w:right w:val="none" w:sz="0" w:space="0" w:color="auto"/>
                                  </w:divBdr>
                                  <w:divsChild>
                                    <w:div w:id="1951161534">
                                      <w:marLeft w:val="60"/>
                                      <w:marRight w:val="0"/>
                                      <w:marTop w:val="0"/>
                                      <w:marBottom w:val="0"/>
                                      <w:divBdr>
                                        <w:top w:val="none" w:sz="0" w:space="0" w:color="auto"/>
                                        <w:left w:val="none" w:sz="0" w:space="0" w:color="auto"/>
                                        <w:bottom w:val="none" w:sz="0" w:space="0" w:color="auto"/>
                                        <w:right w:val="none" w:sz="0" w:space="0" w:color="auto"/>
                                      </w:divBdr>
                                      <w:divsChild>
                                        <w:div w:id="1951161549">
                                          <w:marLeft w:val="0"/>
                                          <w:marRight w:val="0"/>
                                          <w:marTop w:val="0"/>
                                          <w:marBottom w:val="0"/>
                                          <w:divBdr>
                                            <w:top w:val="none" w:sz="0" w:space="0" w:color="auto"/>
                                            <w:left w:val="none" w:sz="0" w:space="0" w:color="auto"/>
                                            <w:bottom w:val="none" w:sz="0" w:space="0" w:color="auto"/>
                                            <w:right w:val="none" w:sz="0" w:space="0" w:color="auto"/>
                                          </w:divBdr>
                                          <w:divsChild>
                                            <w:div w:id="1951161545">
                                              <w:marLeft w:val="0"/>
                                              <w:marRight w:val="0"/>
                                              <w:marTop w:val="0"/>
                                              <w:marBottom w:val="120"/>
                                              <w:divBdr>
                                                <w:top w:val="single" w:sz="6" w:space="0" w:color="F5F5F5"/>
                                                <w:left w:val="single" w:sz="6" w:space="0" w:color="F5F5F5"/>
                                                <w:bottom w:val="single" w:sz="6" w:space="0" w:color="F5F5F5"/>
                                                <w:right w:val="single" w:sz="6" w:space="0" w:color="F5F5F5"/>
                                              </w:divBdr>
                                              <w:divsChild>
                                                <w:div w:id="1951161554">
                                                  <w:marLeft w:val="0"/>
                                                  <w:marRight w:val="0"/>
                                                  <w:marTop w:val="0"/>
                                                  <w:marBottom w:val="0"/>
                                                  <w:divBdr>
                                                    <w:top w:val="none" w:sz="0" w:space="0" w:color="auto"/>
                                                    <w:left w:val="none" w:sz="0" w:space="0" w:color="auto"/>
                                                    <w:bottom w:val="none" w:sz="0" w:space="0" w:color="auto"/>
                                                    <w:right w:val="none" w:sz="0" w:space="0" w:color="auto"/>
                                                  </w:divBdr>
                                                  <w:divsChild>
                                                    <w:div w:id="195116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1161568">
      <w:marLeft w:val="0"/>
      <w:marRight w:val="0"/>
      <w:marTop w:val="0"/>
      <w:marBottom w:val="0"/>
      <w:divBdr>
        <w:top w:val="none" w:sz="0" w:space="0" w:color="auto"/>
        <w:left w:val="none" w:sz="0" w:space="0" w:color="auto"/>
        <w:bottom w:val="none" w:sz="0" w:space="0" w:color="auto"/>
        <w:right w:val="none" w:sz="0" w:space="0" w:color="auto"/>
      </w:divBdr>
      <w:divsChild>
        <w:div w:id="1951161555">
          <w:marLeft w:val="0"/>
          <w:marRight w:val="0"/>
          <w:marTop w:val="150"/>
          <w:marBottom w:val="0"/>
          <w:divBdr>
            <w:top w:val="none" w:sz="0" w:space="0" w:color="auto"/>
            <w:left w:val="single" w:sz="6" w:space="0" w:color="E2E2E2"/>
            <w:bottom w:val="none" w:sz="0" w:space="0" w:color="auto"/>
            <w:right w:val="single" w:sz="6" w:space="0" w:color="E2E2E2"/>
          </w:divBdr>
          <w:divsChild>
            <w:div w:id="1951161535">
              <w:marLeft w:val="0"/>
              <w:marRight w:val="0"/>
              <w:marTop w:val="0"/>
              <w:marBottom w:val="0"/>
              <w:divBdr>
                <w:top w:val="none" w:sz="0" w:space="0" w:color="auto"/>
                <w:left w:val="none" w:sz="0" w:space="0" w:color="auto"/>
                <w:bottom w:val="none" w:sz="0" w:space="0" w:color="auto"/>
                <w:right w:val="none" w:sz="0" w:space="0" w:color="auto"/>
              </w:divBdr>
              <w:divsChild>
                <w:div w:id="1951161536">
                  <w:marLeft w:val="0"/>
                  <w:marRight w:val="0"/>
                  <w:marTop w:val="0"/>
                  <w:marBottom w:val="0"/>
                  <w:divBdr>
                    <w:top w:val="none" w:sz="0" w:space="0" w:color="auto"/>
                    <w:left w:val="none" w:sz="0" w:space="0" w:color="auto"/>
                    <w:bottom w:val="none" w:sz="0" w:space="0" w:color="auto"/>
                    <w:right w:val="none" w:sz="0" w:space="0" w:color="auto"/>
                  </w:divBdr>
                  <w:divsChild>
                    <w:div w:id="1951161537">
                      <w:marLeft w:val="0"/>
                      <w:marRight w:val="0"/>
                      <w:marTop w:val="0"/>
                      <w:marBottom w:val="0"/>
                      <w:divBdr>
                        <w:top w:val="none" w:sz="0" w:space="0" w:color="auto"/>
                        <w:left w:val="none" w:sz="0" w:space="0" w:color="auto"/>
                        <w:bottom w:val="none" w:sz="0" w:space="0" w:color="auto"/>
                        <w:right w:val="none" w:sz="0" w:space="0" w:color="auto"/>
                      </w:divBdr>
                      <w:divsChild>
                        <w:div w:id="195116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TotalTime>
  <Pages>1</Pages>
  <Words>437</Words>
  <Characters>2497</Characters>
  <Application>Microsoft Office Outlook</Application>
  <DocSecurity>0</DocSecurity>
  <Lines>0</Lines>
  <Paragraphs>0</Paragraphs>
  <ScaleCrop>false</ScaleCrop>
  <Company>WHO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Światowy Dzień bez Tytoniu – WHO wzywa kraje do podwyższenia akcyzy na wyroby tytoniowe</dc:title>
  <dc:subject/>
  <dc:creator>WHO User</dc:creator>
  <cp:keywords/>
  <dc:description/>
  <cp:lastModifiedBy>EURO WHO</cp:lastModifiedBy>
  <cp:revision>13</cp:revision>
  <cp:lastPrinted>2014-05-26T08:46:00Z</cp:lastPrinted>
  <dcterms:created xsi:type="dcterms:W3CDTF">2014-05-26T07:32:00Z</dcterms:created>
  <dcterms:modified xsi:type="dcterms:W3CDTF">2014-05-26T09:06:00Z</dcterms:modified>
</cp:coreProperties>
</file>